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Материально-техническое  обеспечение  </w:t>
      </w:r>
      <w:r/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образовательного  процесса в школе</w:t>
      </w:r>
      <w:r/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/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Для организации учебно-воспитательного процесса  в школе  имеется 26 учебных кабинетов, 1 мастерская производственного обучения, 2 лаборатории, 3 спортивных зала.  </w:t>
      </w:r>
      <w:r/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Школа располагает  спортивным городком с наличием различных спортивных тренажеров,  футбольного  поля. </w:t>
      </w:r>
      <w:r/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Фонд  школьной библиотеки: </w:t>
      </w:r>
      <w:r>
        <w:rPr>
          <w:sz w:val="22"/>
          <w:szCs w:val="22"/>
        </w:rPr>
        <w:t xml:space="preserve">10530</w:t>
      </w:r>
      <w:r>
        <w:rPr>
          <w:sz w:val="22"/>
          <w:szCs w:val="22"/>
        </w:rPr>
        <w:t xml:space="preserve"> книг, в том числе: науч</w:t>
      </w:r>
      <w:r>
        <w:rPr>
          <w:sz w:val="22"/>
          <w:szCs w:val="22"/>
        </w:rPr>
        <w:t xml:space="preserve">но-методической литературы – 10</w:t>
      </w:r>
      <w:r>
        <w:rPr>
          <w:sz w:val="22"/>
          <w:szCs w:val="22"/>
        </w:rPr>
        <w:t xml:space="preserve">93</w:t>
      </w:r>
      <w:r>
        <w:rPr>
          <w:sz w:val="22"/>
          <w:szCs w:val="22"/>
        </w:rPr>
        <w:t xml:space="preserve"> экз., справочной литературы-3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8</w:t>
      </w:r>
      <w:r>
        <w:rPr>
          <w:sz w:val="22"/>
          <w:szCs w:val="22"/>
        </w:rPr>
        <w:t xml:space="preserve"> экз., художественной лит</w:t>
      </w:r>
      <w:r>
        <w:rPr>
          <w:sz w:val="22"/>
          <w:szCs w:val="22"/>
        </w:rPr>
        <w:t xml:space="preserve">ературы- 6</w:t>
      </w:r>
      <w:r>
        <w:rPr>
          <w:sz w:val="22"/>
          <w:szCs w:val="22"/>
        </w:rPr>
        <w:t xml:space="preserve">296</w:t>
      </w:r>
      <w:r>
        <w:rPr>
          <w:sz w:val="22"/>
          <w:szCs w:val="22"/>
        </w:rPr>
        <w:t xml:space="preserve"> экз., учебников </w:t>
      </w:r>
      <w:r>
        <w:rPr>
          <w:sz w:val="22"/>
          <w:szCs w:val="22"/>
        </w:rPr>
        <w:t xml:space="preserve">2556</w:t>
      </w:r>
      <w:r>
        <w:rPr>
          <w:sz w:val="22"/>
          <w:szCs w:val="22"/>
        </w:rPr>
        <w:t xml:space="preserve"> экз., </w:t>
      </w:r>
      <w:r>
        <w:rPr>
          <w:sz w:val="22"/>
          <w:szCs w:val="22"/>
        </w:rPr>
        <w:t xml:space="preserve">257</w:t>
      </w:r>
      <w:r>
        <w:rPr>
          <w:sz w:val="22"/>
          <w:szCs w:val="22"/>
        </w:rPr>
        <w:t xml:space="preserve"> учебных дисков. </w:t>
      </w:r>
      <w:r/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В  школе  функционирует  музей краеведения. </w:t>
      </w:r>
      <w:r/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Оснащенность кабинетов</w:t>
      </w:r>
      <w:r/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/>
    </w:p>
    <w:tbl>
      <w:tblPr>
        <w:tblW w:w="0" w:type="auto"/>
        <w:jc w:val="center"/>
        <w:tblInd w:w="-10" w:type="dxa"/>
        <w:tblLayout w:type="fixed"/>
        <w:tblLook w:val="0000" w:firstRow="0" w:lastRow="0" w:firstColumn="0" w:lastColumn="0" w:noHBand="0" w:noVBand="0"/>
      </w:tblPr>
      <w:tblGrid>
        <w:gridCol w:w="4127"/>
        <w:gridCol w:w="2268"/>
        <w:gridCol w:w="2395"/>
      </w:tblGrid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27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Наименование кабинета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количество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5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Оснащенность,%</w:t>
            </w:r>
            <w:r/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27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Спортивный зал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5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38,75</w:t>
            </w:r>
            <w:r>
              <w:rPr>
                <w:sz w:val="22"/>
                <w:szCs w:val="22"/>
              </w:rPr>
              <w:t xml:space="preserve">%</w:t>
            </w:r>
            <w:r/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27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Актовый зал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5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85%</w:t>
            </w:r>
            <w:r/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27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Столовая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5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92%</w:t>
            </w:r>
            <w:r/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27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Мастерская</w:t>
            </w:r>
            <w:r>
              <w:rPr>
                <w:color w:val="ff0000"/>
                <w:sz w:val="22"/>
                <w:szCs w:val="22"/>
              </w:rPr>
              <w:t xml:space="preserve">:                   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5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83%</w:t>
            </w:r>
            <w:r/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27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</w:rPr>
              <w:t xml:space="preserve">Кабинет русского языка и литературы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5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6</w:t>
            </w:r>
            <w:r>
              <w:rPr>
                <w:sz w:val="22"/>
                <w:szCs w:val="22"/>
              </w:rPr>
              <w:t xml:space="preserve">0</w:t>
            </w:r>
            <w:r/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27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</w:rPr>
              <w:t xml:space="preserve">Кабинет английского языка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5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20</w:t>
            </w:r>
            <w:r/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27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</w:rPr>
              <w:t xml:space="preserve">Кабинет татарского языка и литературы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5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60</w:t>
            </w:r>
            <w:r/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27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</w:rPr>
              <w:t xml:space="preserve">Кабинет математики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5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5</w:t>
            </w:r>
            <w:r>
              <w:rPr>
                <w:sz w:val="22"/>
                <w:szCs w:val="22"/>
              </w:rPr>
              <w:t xml:space="preserve">0</w:t>
            </w:r>
            <w:r/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27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</w:rPr>
              <w:t xml:space="preserve">Кабинет физики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5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29</w:t>
            </w:r>
            <w:r/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27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</w:rPr>
              <w:t xml:space="preserve">Кабинет химии и биологии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5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70</w:t>
            </w:r>
            <w:r>
              <w:rPr>
                <w:sz w:val="22"/>
                <w:szCs w:val="22"/>
              </w:rPr>
              <w:t xml:space="preserve">(40)</w:t>
            </w:r>
            <w:r/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27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</w:rPr>
              <w:t xml:space="preserve">Кабинет географии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5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55</w:t>
            </w:r>
            <w:r/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27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</w:rPr>
              <w:t xml:space="preserve">Кабинет информатики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5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55</w:t>
            </w:r>
            <w:r/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27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</w:rPr>
              <w:t xml:space="preserve">Кабинет истории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5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7</w:t>
            </w:r>
            <w:r>
              <w:rPr>
                <w:sz w:val="22"/>
                <w:szCs w:val="22"/>
              </w:rPr>
              <w:t xml:space="preserve">0</w:t>
            </w:r>
            <w:r/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27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</w:rPr>
              <w:t xml:space="preserve">Кабинет начальных классов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7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5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80</w:t>
            </w:r>
            <w:r/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27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</w:rPr>
              <w:t xml:space="preserve">Кабинет технологии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5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30</w:t>
            </w:r>
            <w:r/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27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</w:rPr>
              <w:t xml:space="preserve">Кабинет изобразительного искусства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5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10</w:t>
            </w:r>
            <w:r/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27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</w:rPr>
              <w:t xml:space="preserve">Кабинет ОБЖ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68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5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50</w:t>
            </w:r>
            <w:r/>
          </w:p>
        </w:tc>
      </w:tr>
    </w:tbl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/>
    </w:p>
    <w:p>
      <w:pPr>
        <w:jc w:val="both"/>
        <w:rPr>
          <w:sz w:val="22"/>
          <w:szCs w:val="22"/>
          <w:lang w:eastAsia="en-US"/>
        </w:rPr>
      </w:pPr>
      <w:r>
        <w:rPr>
          <w:color w:val="000000"/>
          <w:sz w:val="22"/>
          <w:szCs w:val="22"/>
        </w:rPr>
        <w:t xml:space="preserve">  Наличие медицинского кабинета и лицензии на медицинский кабинет</w:t>
      </w:r>
      <w:r>
        <w:rPr>
          <w:sz w:val="22"/>
          <w:szCs w:val="22"/>
          <w:lang w:eastAsia="en-US"/>
        </w:rPr>
        <w:t xml:space="preserve">: нет. Медицинское обслуживание осуществляется </w:t>
      </w:r>
      <w:r>
        <w:rPr>
          <w:sz w:val="22"/>
          <w:szCs w:val="22"/>
          <w:lang w:eastAsia="en-US"/>
        </w:rPr>
        <w:t xml:space="preserve">Юхмачинской</w:t>
      </w:r>
      <w:r>
        <w:rPr>
          <w:sz w:val="22"/>
          <w:szCs w:val="22"/>
          <w:lang w:eastAsia="en-US"/>
        </w:rPr>
        <w:t xml:space="preserve"> участковой больницей, которая находится в 150 метрах от здания школы.  В структурных подразделениях – фельдшерско-акушерскими пунктами, находящимися в зданиях школ.</w:t>
      </w:r>
      <w:r/>
    </w:p>
    <w:p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</w:r>
      <w:r/>
    </w:p>
    <w:p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 xml:space="preserve">ТЕХНИЧЕСКОЕ ОБЕСПЕЧЕНИЕ</w:t>
      </w:r>
      <w:r/>
    </w:p>
    <w:tbl>
      <w:tblPr>
        <w:tblW w:w="100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629"/>
        <w:gridCol w:w="3402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29" w:type="dxa"/>
            <w:textDirection w:val="lrTb"/>
            <w:noWrap w:val="false"/>
          </w:tcPr>
          <w:p>
            <w:pPr>
              <w:jc w:val="both"/>
            </w:pPr>
            <w:r>
              <w:rPr>
                <w:bCs/>
                <w:sz w:val="22"/>
                <w:szCs w:val="22"/>
              </w:rPr>
              <w:t xml:space="preserve">Количество компьютерных классов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</w:rPr>
              <w:t xml:space="preserve">1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29" w:type="dxa"/>
            <w:textDirection w:val="lrTb"/>
            <w:noWrap w:val="false"/>
          </w:tcPr>
          <w:p>
            <w:pPr>
              <w:jc w:val="both"/>
            </w:pPr>
            <w:r>
              <w:rPr>
                <w:bCs/>
                <w:sz w:val="22"/>
                <w:szCs w:val="22"/>
              </w:rPr>
              <w:t xml:space="preserve">Количество компьютеров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</w:rPr>
              <w:t xml:space="preserve">15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29" w:type="dxa"/>
            <w:textDirection w:val="lrTb"/>
            <w:noWrap w:val="false"/>
          </w:tcPr>
          <w:p>
            <w:pPr>
              <w:jc w:val="both"/>
            </w:pPr>
            <w:r>
              <w:rPr>
                <w:bCs/>
                <w:sz w:val="22"/>
                <w:szCs w:val="22"/>
              </w:rPr>
              <w:t xml:space="preserve">из них используются в учебном процессе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</w:rPr>
              <w:t xml:space="preserve">15</w:t>
            </w:r>
            <w:bookmarkStart w:id="0" w:name="_GoBack"/>
            <w:r/>
            <w:bookmarkEnd w:id="0"/>
            <w:r/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29" w:type="dxa"/>
            <w:textDirection w:val="lrTb"/>
            <w:noWrap w:val="false"/>
          </w:tcPr>
          <w:p>
            <w:pPr>
              <w:jc w:val="both"/>
            </w:pPr>
            <w:r>
              <w:rPr>
                <w:bCs/>
                <w:sz w:val="22"/>
                <w:szCs w:val="22"/>
              </w:rPr>
              <w:t xml:space="preserve">из них не ниже класса </w:t>
            </w:r>
            <w:r>
              <w:rPr>
                <w:bCs/>
                <w:sz w:val="22"/>
                <w:szCs w:val="22"/>
                <w:lang w:val="en-US"/>
              </w:rPr>
              <w:t xml:space="preserve">PIV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</w:rPr>
              <w:t xml:space="preserve">12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29" w:type="dxa"/>
            <w:textDirection w:val="lrTb"/>
            <w:noWrap w:val="false"/>
          </w:tcPr>
          <w:p>
            <w:pPr>
              <w:jc w:val="both"/>
            </w:pPr>
            <w:r>
              <w:rPr>
                <w:bCs/>
                <w:sz w:val="22"/>
                <w:szCs w:val="22"/>
              </w:rPr>
              <w:t xml:space="preserve">Количество ноутбуков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  <w:t xml:space="preserve">9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29" w:type="dxa"/>
            <w:textDirection w:val="lrTb"/>
            <w:noWrap w:val="false"/>
          </w:tcPr>
          <w:p>
            <w:pPr>
              <w:jc w:val="both"/>
            </w:pPr>
            <w:r>
              <w:rPr>
                <w:bCs/>
                <w:sz w:val="22"/>
                <w:szCs w:val="22"/>
              </w:rPr>
              <w:t xml:space="preserve">Количество интерактивных досок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</w:rPr>
              <w:t xml:space="preserve">4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29" w:type="dxa"/>
            <w:textDirection w:val="lrTb"/>
            <w:noWrap w:val="false"/>
          </w:tcPr>
          <w:p>
            <w:pPr>
              <w:jc w:val="both"/>
            </w:pPr>
            <w:r>
              <w:rPr>
                <w:bCs/>
                <w:sz w:val="22"/>
                <w:szCs w:val="22"/>
              </w:rPr>
              <w:t xml:space="preserve">Количество </w:t>
            </w:r>
            <w:r>
              <w:rPr>
                <w:sz w:val="22"/>
                <w:szCs w:val="22"/>
              </w:rPr>
              <w:t xml:space="preserve">мультимедиа проектор</w:t>
            </w:r>
            <w:r>
              <w:rPr>
                <w:bCs/>
                <w:sz w:val="22"/>
                <w:szCs w:val="22"/>
              </w:rPr>
              <w:t xml:space="preserve">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</w:rPr>
              <w:t xml:space="preserve">7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29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</w:rPr>
              <w:t xml:space="preserve">Число учебных кабинетов, оборудованных мультимедиа проекторами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</w:rPr>
              <w:t xml:space="preserve">7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29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</w:rPr>
              <w:t xml:space="preserve">Наличие сайта, адрес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jc w:val="both"/>
            </w:pPr>
            <w:r/>
            <w:hyperlink r:id="rId8" w:tooltip="http://edu.tatar.ru/alkeevo/yukmachi/sch" w:history="1">
              <w:r>
                <w:rPr>
                  <w:rStyle w:val="602"/>
                  <w:sz w:val="22"/>
                  <w:szCs w:val="22"/>
                  <w:lang w:val="en-US"/>
                </w:rPr>
                <w:t xml:space="preserve">http</w:t>
              </w:r>
              <w:r>
                <w:rPr>
                  <w:rStyle w:val="602"/>
                  <w:sz w:val="22"/>
                  <w:szCs w:val="22"/>
                </w:rPr>
                <w:t xml:space="preserve">://</w:t>
              </w:r>
              <w:r>
                <w:rPr>
                  <w:rStyle w:val="602"/>
                  <w:sz w:val="22"/>
                  <w:szCs w:val="22"/>
                  <w:lang w:val="en-US"/>
                </w:rPr>
                <w:t xml:space="preserve">edu</w:t>
              </w:r>
              <w:r>
                <w:rPr>
                  <w:rStyle w:val="602"/>
                  <w:sz w:val="22"/>
                  <w:szCs w:val="22"/>
                </w:rPr>
                <w:t xml:space="preserve">.</w:t>
              </w:r>
              <w:r>
                <w:rPr>
                  <w:rStyle w:val="602"/>
                  <w:sz w:val="22"/>
                  <w:szCs w:val="22"/>
                  <w:lang w:val="en-US"/>
                </w:rPr>
                <w:t xml:space="preserve">tatar</w:t>
              </w:r>
              <w:r>
                <w:rPr>
                  <w:rStyle w:val="602"/>
                  <w:sz w:val="22"/>
                  <w:szCs w:val="22"/>
                </w:rPr>
                <w:t xml:space="preserve">.</w:t>
              </w:r>
              <w:r>
                <w:rPr>
                  <w:rStyle w:val="602"/>
                  <w:sz w:val="22"/>
                  <w:szCs w:val="22"/>
                  <w:lang w:val="en-US"/>
                </w:rPr>
                <w:t xml:space="preserve">ru</w:t>
              </w:r>
              <w:r>
                <w:rPr>
                  <w:rStyle w:val="602"/>
                  <w:sz w:val="22"/>
                  <w:szCs w:val="22"/>
                </w:rPr>
                <w:t xml:space="preserve">/</w:t>
              </w:r>
              <w:r>
                <w:rPr>
                  <w:rStyle w:val="602"/>
                  <w:sz w:val="22"/>
                  <w:szCs w:val="22"/>
                  <w:lang w:val="en-US"/>
                </w:rPr>
                <w:t xml:space="preserve">alkeevo</w:t>
              </w:r>
              <w:r>
                <w:rPr>
                  <w:rStyle w:val="602"/>
                  <w:sz w:val="22"/>
                  <w:szCs w:val="22"/>
                </w:rPr>
                <w:t xml:space="preserve">/</w:t>
              </w:r>
              <w:r>
                <w:rPr>
                  <w:rStyle w:val="602"/>
                  <w:sz w:val="22"/>
                  <w:szCs w:val="22"/>
                  <w:lang w:val="en-US"/>
                </w:rPr>
                <w:t xml:space="preserve">yukmachi</w:t>
              </w:r>
              <w:r>
                <w:rPr>
                  <w:rStyle w:val="602"/>
                  <w:sz w:val="22"/>
                  <w:szCs w:val="22"/>
                </w:rPr>
                <w:t xml:space="preserve">/</w:t>
              </w:r>
              <w:r>
                <w:rPr>
                  <w:rStyle w:val="602"/>
                  <w:sz w:val="22"/>
                  <w:szCs w:val="22"/>
                  <w:lang w:val="en-US"/>
                </w:rPr>
                <w:t xml:space="preserve">sch</w:t>
              </w:r>
            </w:hyperlink>
            <w:r/>
            <w:r/>
          </w:p>
        </w:tc>
      </w:tr>
      <w:tr>
        <w:trPr>
          <w:trHeight w:val="56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29" w:type="dxa"/>
            <w:textDirection w:val="lrTb"/>
            <w:noWrap w:val="false"/>
          </w:tcPr>
          <w:p>
            <w:pPr>
              <w:jc w:val="both"/>
            </w:pPr>
            <w:r>
              <w:rPr>
                <w:bCs/>
                <w:sz w:val="22"/>
                <w:szCs w:val="22"/>
              </w:rPr>
              <w:t xml:space="preserve">Количество компьютеров и ноутбуков, с которых имеется доступ к сети Интернет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  <w:t xml:space="preserve">1</w:t>
            </w:r>
            <w:r/>
          </w:p>
        </w:tc>
      </w:tr>
      <w:tr>
        <w:trPr>
          <w:trHeight w:val="5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29" w:type="dxa"/>
            <w:textDirection w:val="lrTb"/>
            <w:noWrap w:val="false"/>
          </w:tcPr>
          <w:p>
            <w:pPr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Количество компьютеров, объединенных локальной  сетью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jc w:val="both"/>
            </w:pPr>
            <w:r>
              <w:rPr>
                <w:sz w:val="22"/>
                <w:szCs w:val="22"/>
              </w:rPr>
              <w:t xml:space="preserve">6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29" w:type="dxa"/>
            <w:textDirection w:val="lrTb"/>
            <w:noWrap w:val="false"/>
          </w:tcPr>
          <w:p>
            <w:pPr>
              <w:jc w:val="both"/>
              <w:rPr>
                <w:bCs/>
              </w:rPr>
            </w:pPr>
            <w:r>
              <w:rPr>
                <w:bCs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jc w:val="both"/>
            </w:pPr>
            <w:r/>
            <w:r/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jc w:val="center"/>
        <w:spacing w:before="0" w:beforeAutospacing="0" w:after="200" w:afterAutospacing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599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599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599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599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599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599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599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599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599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8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599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599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599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599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599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599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  <w:pPr>
      <w:jc w:val="left"/>
      <w:spacing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character" w:styleId="602">
    <w:name w:val="Hyperlink"/>
    <w:uiPriority w:val="99"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://edu.tatar.ru/alkeevo/yukmachi/sch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Р7-Офис/7.2.0.134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revision>3</cp:revision>
  <dcterms:created xsi:type="dcterms:W3CDTF">2019-04-13T06:43:00Z</dcterms:created>
  <dcterms:modified xsi:type="dcterms:W3CDTF">2024-10-19T18:16:19Z</dcterms:modified>
</cp:coreProperties>
</file>